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521</w:t>
      </w:r>
    </w:p>
    <w:p>
      <w:r>
        <w:t>Bundesgericht (BGE), 2014-04-29, DE</w:t>
      </w:r>
    </w:p>
    <w:p>
      <w:r>
        <w:rPr>
          <w:b/>
        </w:rPr>
        <w:t xml:space="preserve">Quelle: </w:t>
      </w:r>
      <w:r>
        <w:t>https://mcp.opencaselaw.ch/entscheid/bge_141 V 521</w:t>
      </w:r>
    </w:p>
    <w:p>
      <w:r>
        <w:t>FR: ATF 141 V 521</w:t>
      </w:r>
    </w:p>
    <w:p>
      <w:r>
        <w:t>IT: DTF 141 V 521</w:t>
      </w:r>
    </w:p>
    <w:p>
      <w:pPr>
        <w:pStyle w:val="Heading2"/>
      </w:pPr>
      <w:r>
        <w:t>Regeste</w:t>
      </w:r>
    </w:p>
    <w:p>
      <w:r>
        <w:t>Regeste Art. 13 FamZG; Art. 7 Abs. 1 FamZV; Art. 2 in Verbindung mit Art. 67 der Verordnung (EG) Nr. 883/2004 des Europäischen Parlaments und des Rates vom 29. April 2004 zur Koordinierung der Systeme der sozialen Sicherheit; Anspruch eines Drittstaatsangehörigen auf Familienzulagen. Ein Drittstaatsangehöriger, welcher für einen Schweizer Arbeitgeber tätig ist und dessen Kinder eine EU-Staatsbürgerschaft haben und in einem EU-Mitgliedsstaat wohnen, fällt nicht unter den persönlichen Geltungsbereich der Verordnung (EG) Nr. 883/2004; mangels Vereinbarung in einem zwischenstaatlichen Abkommen hat er daher nach Art. 7 Abs. 1 FamZV keinen Anspruch auf Familienzulagen für seine Kinder (E. 4).</w:t>
      </w:r>
    </w:p>
    <w:p>
      <w:pPr>
        <w:pStyle w:val="Heading2"/>
      </w:pPr>
      <w:r>
        <w:t>Erwägungen</w:t>
      </w:r>
    </w:p>
    <w:p>
      <w:r>
        <w:rPr>
          <w:b/>
        </w:rPr>
        <w:t>E. 2</w:t>
      </w:r>
    </w:p>
    <w:p>
      <w:r>
        <w:t>Streitig ist der Anspruch des Beschwerdeführers auf Kinderzulagen für seine beiden Söhne B. und C.</w:t>
      </w:r>
    </w:p>
    <w:p>
      <w:r>
        <w:rPr>
          <w:b/>
        </w:rPr>
        <w:t>E. 3</w:t>
      </w:r>
    </w:p>
    <w:p>
      <w:r>
        <w:t>Die Vorinstanz hat den Anspruch auf Familienzulagen abgelehnt, da der Beschwerdeführer, dessen Kinder im Ausland wohnen, nach BGE 141 V 521 S. 523 Art. 13 des Bundesgesetzes vom 24. März 2006 über die Familienzulagen (Familienzulagengesetz, FamZG; SR 836.2) in Verbindung mit Art. 7 Abs. 1 der Verordnung vom 31. Oktober 2007 über die Familienzulagen (Familienzulagenverordnung, FamZV; SR 836.21) nur gestützt auf eine Vereinbarung in einem zwischenstaatlichen Abkommen Anspruch auf Familienzulagen für seine Kinder habe, er aber nicht in den persönlichen Anwendungsbereich des Abkommens vom 21. Juni 1999 zwischen der Schweizerischen Eidgenossenschaft einerseits und der Europäischen Gemeinschaft und ihren Mitgliedstaaten andererseits über die Freizügigkeit (FZA; SR 0.142.112.681) in Verbindung mit der Verordnung (EG) Nr. 883/2004 des Europäischen Parlaments und des Rates vom 29. April 2004 zur Koordinierung der Systeme der sozialen Sicherheit (SR 0.831.109.268.1; nachfolgend: Verordnung [EG] Nr. 883/2004) falle und weder mit Bulgarien noch mit Guatemala ein bilaterales Sozialversicherungsabkommen bestehe, das einen solchen Anspruch statuiere.</w:t>
      </w:r>
    </w:p>
    <w:p>
      <w:r>
        <w:rPr>
          <w:b/>
        </w:rPr>
        <w:t>E. 4.1</w:t>
      </w:r>
    </w:p>
    <w:p>
      <w:r>
        <w:t>Nach Art. 7 Abs. 1 FamZV besteht nur dann Anspruch auf Familienzulagen für im Ausland lebende Kinder, wenn dies eine zwischenstaatliche Vereinbarung vorschreibt. Das Bundesgericht hat festgestellt, dass diese Bestimmung sich an die Vorgaben gemäss FamZG hält und weder Art. 8 Abs. 1 und 2 BV (Gleichbehandlungsgebot, Diskriminierungsverbot) noch Bestimmungen des Übereinkommens vom 20. November 1989 über die Rechte des Kindes (UN-Kinderrechtskonvention, KRK; SR 0.107) verletzt ( BGE 136 I 297 ; vgl. auch BGE 138 V 392 ).</w:t>
      </w:r>
    </w:p>
    <w:p>
      <w:r>
        <w:rPr>
          <w:b/>
        </w:rPr>
        <w:t>E. 4.2</w:t>
      </w:r>
    </w:p>
    <w:p>
      <w:r>
        <w:t>Wie die Vorinstanz zutreffend festhält - und vom Beschwerdeführer auch nicht bestritten wird - gibt es keine zwischenstaatliche Vereinbarung zwischen der Schweiz und Bulgarien (nach Art. 2 Abs. 1 Ziff. 1 des Abkommens vom 15. März 2006 zwischen der Schweizerischen Eidgenossenschaft und der Republik Bulgarien über Soziale Sicherheit [SR 0.831.109.214.1], werden bezüglich der Schweiz nur Leistungen gemäss Bundesgesetz über die Familienzulagen in der Landwirtschaft erfasst) resp. zwischen der Schweiz und Guatemala, die ihm einen Anspruch auf Familienzulagen nach FamZG einräumen würde.</w:t>
      </w:r>
    </w:p>
    <w:p>
      <w:r>
        <w:rPr>
          <w:b/>
        </w:rPr>
        <w:t>E. 4.3</w:t>
      </w:r>
    </w:p>
    <w:p>
      <w:r>
        <w:t>Zu prüfen bleibt, ob der Beschwerdeführer unter Anwendung des FZA einen Anspruch auf Familienzulagen hat.</w:t>
      </w:r>
    </w:p>
    <w:p>
      <w:r>
        <w:rPr>
          <w:b/>
        </w:rPr>
        <w:t>E. 4.3.1</w:t>
      </w:r>
    </w:p>
    <w:p>
      <w:r>
        <w:t>Gemäss Art. 8 FZA gewähren die Vertragsparteien die Koordination der sozialen Systeme gemäss den in Anhang II BGE 141 V 521 S. 524 aufgeführten Erlassen. Art. 1 Ziff. 1 Anhang II FZA erklärt die in Abschnitt A dieses Anhangs genannten Rechtsakte der Europäischen Union in der durch diesen Abschnitt geänderten Fassung oder gleichwertige Vorschriften für massgebend. Dabei handelt es sich einerseits um die Verordnung (EG) Nr. 883/2004 sowie die Verordnung (EG) Nr. 987/2009 des Europäischen Parlaments und des Rates vom 16. September 2009 zur Festlegung der Modalitäten für die Durchführung der Verordnung (EG) Nr. 883/2004 über die Koordinierung der Systeme der sozialen Sicherheit (SR 831.109.268.11; je mit den explizit aufgeführten Änderungen und Abweichungen für einzelne Bereiche) und um deren Vorgängerverordnungen (EWG) Nr. 1408/71 des Rates vom 14. Juni 1971 und (EWG) Nr. 574/72 des Rates vom 21. März 1972 (soweit darauf in den Verordnungen [EG] Nr. 883/2004 oder [EG] Nr. 987/2009 Bezug genommen wird oder Fälle aus der Vergangenheit betroffen sind) sowie andererseits um die Richtlinie 98/49/EG des Rates vom 29. Juni 1998 zur Wahrung ergänzender Rentenansprüche von Arbeitnehmern und Selbständigen, die innerhalb der Europäischen Gemeinschaft zu- und abwandern (ABl. L 209 vom 25. Juli 1998 S. 46; vgl. zum Ganzen auch den Beschluss Nr. 1/2012 des gemischten Ausschusses, eingesetzt im Rahmen des Abkommens zwischen der Europäischen Gemeinschaft und ihren Mitgliedstaaten einerseits und der Schweizerischen Eidgenossenschaft andererseits über die Freizügigkeit, vom 31. März 2012 zur Ersetzung des Anhangs II dieses Abkommens über die Koordinierung der sozialen Sicherheit, ABl. L 103 vom 13. April 2012 S. 51-59, sowie BGE 141 V 43 E. 3.2 S. 46). Entgegen der Ansicht des Beschwerdeführers werden Drittstaatsangehörige nicht grundsätzlich von der Verordnung (EG) Nr. 883/2004 erfasst; dies erfolgt vielmehr durch die von den beiden Verordnungen (EG) Nr. 883/2004 und (EG) Nr. 987/2009 unabhängige Verordnung (EU) Nr. 1231/2010 des Europäischen Parlaments und des Rates vom 24. November 2010 zur Ausdehnung der Verordnung (EG) Nr. 883/2004 und der Verordnung (EG) Nr. 987/2009 auf Drittstaatsangehörige, die ausschliesslich aufgrund ihrer Staatsangehörigkeit nicht bereits unter diese Verordnungen fallen (ABl. L 344 vom 29. Dezember 2010 S. 1), auf welche sich der Beschwerdeführer denn auch massgeblich beruft. Diese ist jedoch im Anhang II Abschnitt A des FZA nicht aufgeführt, weshalb sie im Verhältnis Schweiz-EU auch keine Anwendung findet (vgl. auch MAXIMILIAN FUCHS, in: Europäisches Sozialrecht, derselbe [Hrsg.], 6. Aufl. 2013, N. 42 BGE 141 V 521 S. 525 Einführung, sowie BERNHARD SPIEGEL, in: Europäisches Sozialrecht, a.a.O., N. 4 zu Art. 2 VO 883/2004). Bereits gemäss der früheren Verordnung (EWG) Nr. 1408/71 galt die damalige Verordnung (EG) Nr. 859/2003 des Rates vom 14. Mai 2003 zur Ausdehnung der Bestimmungen der Verordnung (EWG) Nr. 1408/71 und der Verordnung (EWG) Nr. 574/72 auf Drittstaatsangehörige, die ausschliesslich aufgrund ihrer Staatsangehörigkeit nicht bereits unter diese Bestimmungen fallen (ABl. L 124 vom 20. Mai 2003 S. 1) im Verhältnis zwischen der Schweiz und EU-Mitgliedstaaten nicht, da diese Verordnung von der Schweiz nicht explizit übernommen wurde (GÄCHTER/BURCH, § 1 Nationale und internationale Rechtsquellen, in: Recht der sozialen Sicherheit, Steiger-Sackmann/Mosimann [Hrsg.],2014, S. 30 f. Rz. 1.87; ebenso EDLYN HÖLLER, in: Europäisches Sozialrecht, a.a.O., N. 91 Sozialrecht in den Assoziationsabkommen). Folglich findet auch die Verordnung (EU) Nr. 1231/2010 ohne explizite Übernahme durch die Schweiz keine Anwendung im Verhältnis zwischen den EU-Mitgliedstaaten und der Schweiz. Der Beschwerdeführer kann somit nichts zu seinen Gunsten aus dieser allein im Verhältnis zwischen EU-Mitgliedstaaten geltenden Verordnung für Drittstaatsangehörige ableiten.</w:t>
      </w:r>
    </w:p>
    <w:p>
      <w:r>
        <w:rPr>
          <w:b/>
        </w:rPr>
        <w:t>E. 4.3.2</w:t>
      </w:r>
    </w:p>
    <w:p>
      <w:r>
        <w:t>Ein Leistungsbezug nach Art. 67 der Verordnung (EG) Nr. 883/2004 setzt voraus, dass die Person, welche für ihre in einem andern als dem zuständigen Mitgliedstaat wohnhaften Familienangehörigen Anspruch auf Familienleistungen erhebt, selbst in den personellen Anwendungsbereich der Verordnung fällt (vgl. auch GERHARD IGL, in: Europäisches Sozialrecht, a.a.O., N. 2 zu Art. 67 VO 883/2004). Nach Art. 2 der Verordnung (EG) Nr. 883/2004 gilt diese Verordnung für Staatsangehörige eines Mitgliedstaates, Staatenlose und Flüchtlinge mit Wohnort in einem Mitgliedstaat, für die die Rechtsvorschriften eines oder mehrerer Mitgliedstaaten gelten oder galten, sowie für ihre Familienangehörigen und Hinterbliebenen. Mit anderen Worten muss im Rahmen des FZA einerseits eine entsprechende Nationalität (oder Staatenlosigkeit resp. Flüchtlingseigenschaft mit Wohnort in der EU oder der Schweiz) oder ein ausreichender Familienstatus sowie andererseits ein grenzüberschreitender Sachverhalt gegeben sein.</w:t>
      </w:r>
    </w:p>
    <w:p>
      <w:r>
        <w:rPr>
          <w:b/>
        </w:rPr>
        <w:t>E. 4.3.3</w:t>
      </w:r>
    </w:p>
    <w:p>
      <w:r>
        <w:t>Der Beschwerdeführer ist weder Staatsangehöriger eines EU-Mitgliedstaates noch Schweizerbürger. Auch ist er weder Staatenloser noch Flüchtling. Damit erfüllt er die Voraussetzung der Nationalität nicht. Daran ändert auch der Umstand nichts, dass seine BGE 141 V 521 S. 526 Familienangehörigen (Ehefrau und Kinder) als Bulgaren Staatsangehörige eines EU-Mitgliedstaates sind. Denn im Rahmen der Verträge zwischen der EU und der Schweiz können Drittstaatsangehörige mangels Geltung der Verordnung (EU) Nr. 1231/2010 (vgl. dazu E. 4.3.1) in ihrer Eigenschaft als Familienangehörige oder Hinterlassene nur einen abgeleiteten Anspruch auf Leistungen bei Krankheit oder Witwen-/Witwerversorgung in der Unfall- oder Rentenversicherung geltend machen (vgl. SPIEGEL, a.a.O., N. 5 zu Art. 2 VO 883/2004). Nachdem aber der Beschwerdeführer Drittstaatsangehöriger ist und (allenfalls) anspruchsberechtigt wäre, kann er sich nicht auf diese Regelung für Familienangehörige berufen.</w:t>
      </w:r>
    </w:p>
    <w:p>
      <w:r>
        <w:rPr>
          <w:b/>
        </w:rPr>
        <w:t>E. 4.3.4</w:t>
      </w:r>
    </w:p>
    <w:p>
      <w:r>
        <w:t>Schliesslich kann er auch nichts zu seinen Gunsten daraus ableiten, dass seine Ehefrau und Kinder bulgarische und damit EU-Staatsangehörige sind. Denn diese leben in Bulgarien und haben somit von ihrem Freizügigkeitsrecht keinen Gebrauch gemacht, so dass bei ihnen der für die Unterstellung unter die Verordnung (EG) Nr. 883/2004 notwendige grenzüberschreitende Sachverhalt nicht gegeben ist. Sie unterstehen der bulgarischen Rechtsordnung. Als ihr Familienangehöriger kann der Beschwerdeführer daher keine weitergehenden Ansprüche und insbesondere keinen Diskriminierungstatbestand geltend machen.</w:t>
      </w:r>
    </w:p>
    <w:p>
      <w:r>
        <w:rPr>
          <w:b/>
        </w:rPr>
        <w:t>E. 4.4</w:t>
      </w:r>
    </w:p>
    <w:p>
      <w:r>
        <w:t>Nach dem Gesagten hat der Beschwerdeführer weder gestützt auf das FZA noch auf eine andere zwischenstaatliche Vereinbarung Anspruch auf Familienzulagen für seine beiden Söhne. Daran ändert auch BGE 139 V 393 (auch veröffentlicht in: Pra 2014 Nr. 10 S. 71 ff.) nichts. Bei diesem Entscheid ging es um einen peruanischen Staatsangehörigen, der mit einer britischen Staatsangehörigen verheiratet ist und mit seiner Ehefrau nach mehreren Jahren Wohnsitz und Erwerbstätigkeit in der Schweiz den Wohnsitz nach Grossbritannien verlegt hatte. Das Bundesgericht entschied, dieser Drittstaatsangehörige habe in seiner Eigenschaft als Familienangehöriger gestützt auf das FZA weiterhin Anspruch auf seine AHV-Altersrente. Dieser Sachverhalt, bei welchem es um den Anspruch eines Drittstaatsangehörigen ging, welcher mit einer EU-Bürgerin verheiratet war, die von ihrem Recht auf Freizügigkeit Gebrauch gemacht hatte, ist nicht mit dem vorliegenden vergleichbar. Denn anders als bei BGE 139 V 393 , bei welchem es um eine Leistung ging, die sowohl Erwerbstätigen wie Nichterwerbstätigen zukommt, hängt der Leistungsanspruch des Beschwerdeführers von seiner Eigenschaft als Arbeitnehmer ab. In diesen Konstellationen aber, bei welchen es BGE 141 V 521 S. 527 um eine Leistung geht, die an die Eigenschaft als Arbeitnehmer anknüpft, ist keine Ausdehnung auf Drittstaatsangehörige als Familienmitglieder denkbar ( BGE 139 V 393 E. 5.3 S. 398 sowie SPIEGEL, a.a.O., N. 18 zu Art. 2 VO 883/2004).</w:t>
      </w:r>
    </w:p>
    <w:p>
      <w:r>
        <w:rPr>
          <w:b/>
        </w:rPr>
        <w:t>E. 4.5</w:t>
      </w:r>
    </w:p>
    <w:p>
      <w:r>
        <w:t>Ebenso ist unerheblich, dass auf dem erzielten Arbeitseinkommen Beiträge an die Familienausgleichskasse geleistet werden. Zwar können die Kantone vorsehen, dass auch die Arbeitnehmer einen Teil der Beitragszahlungen zu leisten haben ( Art. 17 Abs. 2 lit. j FamZG ); mit wenigen Ausnahmen haben sämtliche Kantone davon abgesehen. Somit ist denn auch entgegen seiner Ansicht nicht der Beschwerdeführer Beitragszahler, sondern diese Beiträge gehen vollumfänglich zu Lasten des Arbeitgebers (vgl. dazu auch die aufgelegten Lohnabrechnungen, welche keine entsprechenden Abzüge ausweisen).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